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E810" w14:textId="13F62EB2" w:rsidR="0031641A" w:rsidRPr="004B2644" w:rsidRDefault="0031641A" w:rsidP="0031641A">
      <w:pPr>
        <w:pStyle w:val="Heading1"/>
        <w:keepLines/>
        <w:spacing w:after="0" w:line="259" w:lineRule="auto"/>
        <w:rPr>
          <w:rFonts w:eastAsiaTheme="majorEastAsia" w:cstheme="majorBidi"/>
          <w:kern w:val="0"/>
          <w:sz w:val="28"/>
          <w:lang w:eastAsia="en-US"/>
        </w:rPr>
      </w:pPr>
      <w:r w:rsidRPr="0083642D">
        <w:rPr>
          <w:rFonts w:eastAsiaTheme="majorEastAsia" w:cstheme="majorBidi"/>
          <w:kern w:val="0"/>
          <w:sz w:val="28"/>
          <w:lang w:eastAsia="en-US"/>
        </w:rPr>
        <w:t>Health and Care Intelligence Specialist</w:t>
      </w:r>
      <w:r>
        <w:rPr>
          <w:rFonts w:eastAsiaTheme="majorEastAsia" w:cstheme="majorBidi"/>
          <w:kern w:val="0"/>
          <w:sz w:val="28"/>
          <w:lang w:eastAsia="en-US"/>
        </w:rPr>
        <w:t xml:space="preserve"> </w:t>
      </w:r>
      <w:r w:rsidRPr="0031641A">
        <w:rPr>
          <w:rFonts w:eastAsiaTheme="majorEastAsia" w:cstheme="majorBidi"/>
          <w:kern w:val="0"/>
          <w:sz w:val="28"/>
          <w:lang w:eastAsia="en-US"/>
        </w:rPr>
        <w:t xml:space="preserve">Apprenticeship Guidance </w:t>
      </w:r>
    </w:p>
    <w:p w14:paraId="7D1AC93C" w14:textId="6DC3F280" w:rsidR="0034692C" w:rsidRDefault="0034692C" w:rsidP="003141BF">
      <w:pPr>
        <w:rPr>
          <w:b/>
          <w:bCs/>
          <w:lang w:val="en-US"/>
        </w:rPr>
      </w:pPr>
      <w:r w:rsidRPr="0034692C">
        <w:rPr>
          <w:b/>
          <w:bCs/>
          <w:lang w:val="en-US"/>
        </w:rPr>
        <w:t xml:space="preserve"> </w:t>
      </w:r>
    </w:p>
    <w:p w14:paraId="43F3FF4B" w14:textId="193B0E23" w:rsidR="00C70B9E" w:rsidRPr="004B2644" w:rsidRDefault="00C70B9E" w:rsidP="00C70B9E">
      <w:pPr>
        <w:pStyle w:val="Heading2"/>
        <w:spacing w:before="40" w:after="0" w:line="259" w:lineRule="auto"/>
        <w:rPr>
          <w:rFonts w:ascii="Arial" w:hAnsi="Arial"/>
          <w:b/>
          <w:color w:val="auto"/>
          <w:sz w:val="26"/>
          <w:szCs w:val="26"/>
          <w:lang w:eastAsia="en-US"/>
        </w:rPr>
      </w:pPr>
      <w:r>
        <w:rPr>
          <w:rFonts w:ascii="Arial" w:hAnsi="Arial"/>
          <w:b/>
          <w:color w:val="auto"/>
          <w:sz w:val="26"/>
          <w:szCs w:val="26"/>
          <w:lang w:eastAsia="en-US"/>
        </w:rPr>
        <w:t>What you need to know:</w:t>
      </w:r>
    </w:p>
    <w:p w14:paraId="0295BB70" w14:textId="77777777" w:rsidR="00C70B9E" w:rsidRDefault="00C70B9E" w:rsidP="00C70B9E">
      <w:pPr>
        <w:jc w:val="both"/>
      </w:pPr>
      <w:r>
        <w:rPr>
          <w:noProof/>
        </w:rPr>
        <w:drawing>
          <wp:inline distT="0" distB="0" distL="0" distR="0" wp14:anchorId="6D23582E" wp14:editId="7FFAC8AE">
            <wp:extent cx="5791835" cy="85090"/>
            <wp:effectExtent l="0" t="0" r="0" b="0"/>
            <wp:docPr id="1581657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85090"/>
                    </a:xfrm>
                    <a:prstGeom prst="rect">
                      <a:avLst/>
                    </a:prstGeom>
                    <a:noFill/>
                  </pic:spPr>
                </pic:pic>
              </a:graphicData>
            </a:graphic>
          </wp:inline>
        </w:drawing>
      </w:r>
    </w:p>
    <w:p w14:paraId="2EC8EE77" w14:textId="77777777" w:rsidR="003141BF" w:rsidRPr="003141BF" w:rsidRDefault="003141BF" w:rsidP="003141BF">
      <w:pPr>
        <w:rPr>
          <w:lang w:val="en-US"/>
        </w:rPr>
      </w:pPr>
    </w:p>
    <w:p w14:paraId="6D711E40" w14:textId="77777777" w:rsidR="003141BF" w:rsidRPr="003141BF" w:rsidRDefault="003141BF" w:rsidP="00C70B9E">
      <w:pPr>
        <w:rPr>
          <w:lang w:val="en-US"/>
        </w:rPr>
      </w:pPr>
      <w:r w:rsidRPr="003141BF">
        <w:rPr>
          <w:lang w:val="en-US"/>
        </w:rPr>
        <w:t xml:space="preserve">You will be completing a </w:t>
      </w:r>
      <w:hyperlink r:id="rId13" w:anchor=":~:text=Health%20and%20Care%20Intelligence%20Specialists%20are%20usually%20responsible%20for%20interpreting,implementation%20of%20evidence%2Dbased%20interventions" w:history="1">
        <w:r w:rsidRPr="003141BF">
          <w:rPr>
            <w:rStyle w:val="Hyperlink"/>
            <w:lang w:val="en-US"/>
          </w:rPr>
          <w:t>Level 7 Health &amp; Care Intelligence Specialist apprenticeship standard</w:t>
        </w:r>
      </w:hyperlink>
      <w:r w:rsidRPr="003141BF">
        <w:rPr>
          <w:lang w:val="en-US"/>
        </w:rPr>
        <w:t xml:space="preserve"> which will provide you with a highly transferable set of knowledge, skills and </w:t>
      </w:r>
      <w:proofErr w:type="spellStart"/>
      <w:r w:rsidRPr="003141BF">
        <w:rPr>
          <w:lang w:val="en-US"/>
        </w:rPr>
        <w:t>behaviours</w:t>
      </w:r>
      <w:proofErr w:type="spellEnd"/>
      <w:r w:rsidRPr="003141BF">
        <w:rPr>
          <w:lang w:val="en-US"/>
        </w:rPr>
        <w:t xml:space="preserve">, which you gain by working for us. </w:t>
      </w:r>
    </w:p>
    <w:p w14:paraId="27A260FB" w14:textId="77777777" w:rsidR="003141BF" w:rsidRPr="003141BF" w:rsidRDefault="003141BF" w:rsidP="003141BF">
      <w:pPr>
        <w:rPr>
          <w:lang w:val="en-US"/>
        </w:rPr>
      </w:pPr>
    </w:p>
    <w:p w14:paraId="1B6F4E09" w14:textId="77777777" w:rsidR="003141BF" w:rsidRPr="003141BF" w:rsidRDefault="003141BF" w:rsidP="00C70B9E">
      <w:pPr>
        <w:rPr>
          <w:bCs/>
        </w:rPr>
      </w:pPr>
      <w:r w:rsidRPr="003141BF">
        <w:rPr>
          <w:bCs/>
        </w:rPr>
        <w:t xml:space="preserve">All candidates that successfully reach the interview stages will be required to provide a 10-minute presentation as part of the recruitment process. Candidates who do not provide a presentation at interview will not proceed through the recruitment process. </w:t>
      </w:r>
    </w:p>
    <w:p w14:paraId="18116260" w14:textId="77777777" w:rsidR="003141BF" w:rsidRPr="003141BF" w:rsidRDefault="003141BF" w:rsidP="003141BF">
      <w:pPr>
        <w:rPr>
          <w:bCs/>
        </w:rPr>
      </w:pPr>
      <w:r w:rsidRPr="003141BF">
        <w:rPr>
          <w:bCs/>
        </w:rPr>
        <w:t xml:space="preserve"> </w:t>
      </w:r>
    </w:p>
    <w:p w14:paraId="6DF7ABB4" w14:textId="77777777" w:rsidR="003141BF" w:rsidRPr="003141BF" w:rsidRDefault="003141BF" w:rsidP="00C70B9E">
      <w:pPr>
        <w:rPr>
          <w:bCs/>
        </w:rPr>
      </w:pPr>
      <w:r w:rsidRPr="003141BF">
        <w:rPr>
          <w:bCs/>
        </w:rPr>
        <w:t xml:space="preserve">As part of this training route, you need to undertake a basic skills assessment meeting as part of the selection process by the training provider, JGA Group. This is to ensure you meet their entry criteria and the Education Skills Funding Agency (ESFA) apprenticeship eligibility requirements. </w:t>
      </w:r>
    </w:p>
    <w:p w14:paraId="73AA1C24" w14:textId="77777777" w:rsidR="00C70B9E" w:rsidRDefault="00C70B9E" w:rsidP="00C70B9E">
      <w:pPr>
        <w:rPr>
          <w:lang w:val="en-US"/>
        </w:rPr>
      </w:pPr>
    </w:p>
    <w:p w14:paraId="51830662" w14:textId="41D7176A" w:rsidR="003141BF" w:rsidRDefault="003141BF" w:rsidP="00C70B9E">
      <w:pPr>
        <w:rPr>
          <w:lang w:val="en-US"/>
        </w:rPr>
      </w:pPr>
      <w:r w:rsidRPr="003141BF">
        <w:rPr>
          <w:lang w:val="en-US"/>
        </w:rPr>
        <w:t xml:space="preserve">As per the apprenticeship funding rules, successful applications must have unrestricted right to work for the length of the </w:t>
      </w:r>
      <w:proofErr w:type="spellStart"/>
      <w:r w:rsidRPr="003141BF">
        <w:rPr>
          <w:lang w:val="en-US"/>
        </w:rPr>
        <w:t>programme</w:t>
      </w:r>
      <w:proofErr w:type="spellEnd"/>
      <w:r w:rsidRPr="003141BF">
        <w:rPr>
          <w:lang w:val="en-US"/>
        </w:rPr>
        <w:t xml:space="preserve"> in England and not be in any other kind of full-time education (including being enrolled on any other apprenticeship </w:t>
      </w:r>
      <w:proofErr w:type="spellStart"/>
      <w:r w:rsidRPr="003141BF">
        <w:rPr>
          <w:lang w:val="en-US"/>
        </w:rPr>
        <w:t>programme</w:t>
      </w:r>
      <w:proofErr w:type="spellEnd"/>
      <w:r w:rsidRPr="003141BF">
        <w:rPr>
          <w:lang w:val="en-US"/>
        </w:rPr>
        <w:t>).</w:t>
      </w:r>
    </w:p>
    <w:p w14:paraId="71F8D8E7" w14:textId="77777777" w:rsidR="00C70B9E" w:rsidRDefault="00C70B9E" w:rsidP="00C70B9E">
      <w:pPr>
        <w:rPr>
          <w:lang w:val="en-US"/>
        </w:rPr>
      </w:pPr>
    </w:p>
    <w:p w14:paraId="355E0F15" w14:textId="3BC16339" w:rsidR="00C70B9E" w:rsidRPr="004B2644" w:rsidRDefault="00C70B9E" w:rsidP="00C70B9E">
      <w:pPr>
        <w:pStyle w:val="Heading2"/>
        <w:spacing w:before="40" w:after="0" w:line="259" w:lineRule="auto"/>
        <w:rPr>
          <w:rFonts w:ascii="Arial" w:hAnsi="Arial"/>
          <w:b/>
          <w:color w:val="auto"/>
          <w:sz w:val="26"/>
          <w:szCs w:val="26"/>
          <w:lang w:eastAsia="en-US"/>
        </w:rPr>
      </w:pPr>
      <w:r>
        <w:rPr>
          <w:rFonts w:ascii="Arial" w:hAnsi="Arial"/>
          <w:b/>
          <w:color w:val="auto"/>
          <w:sz w:val="26"/>
          <w:szCs w:val="26"/>
          <w:lang w:eastAsia="en-US"/>
        </w:rPr>
        <w:t>The apprenticeship programme:</w:t>
      </w:r>
    </w:p>
    <w:p w14:paraId="74757683" w14:textId="77777777" w:rsidR="00C70B9E" w:rsidRDefault="00C70B9E" w:rsidP="00C70B9E">
      <w:pPr>
        <w:jc w:val="both"/>
      </w:pPr>
      <w:r>
        <w:rPr>
          <w:noProof/>
        </w:rPr>
        <w:drawing>
          <wp:inline distT="0" distB="0" distL="0" distR="0" wp14:anchorId="7DF05B2F" wp14:editId="08E722E6">
            <wp:extent cx="5791835" cy="85090"/>
            <wp:effectExtent l="0" t="0" r="0" b="0"/>
            <wp:docPr id="860918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85090"/>
                    </a:xfrm>
                    <a:prstGeom prst="rect">
                      <a:avLst/>
                    </a:prstGeom>
                    <a:noFill/>
                  </pic:spPr>
                </pic:pic>
              </a:graphicData>
            </a:graphic>
          </wp:inline>
        </w:drawing>
      </w:r>
    </w:p>
    <w:p w14:paraId="2A98D052" w14:textId="77777777" w:rsidR="003141BF" w:rsidRPr="003141BF" w:rsidRDefault="003141BF" w:rsidP="003141BF">
      <w:pPr>
        <w:rPr>
          <w:bCs/>
        </w:rPr>
      </w:pPr>
    </w:p>
    <w:p w14:paraId="437C90C9" w14:textId="77777777" w:rsidR="003141BF" w:rsidRDefault="003141BF" w:rsidP="003141BF">
      <w:pPr>
        <w:rPr>
          <w:bCs/>
        </w:rPr>
      </w:pPr>
      <w:r w:rsidRPr="003141BF">
        <w:rPr>
          <w:bCs/>
        </w:rPr>
        <w:t xml:space="preserve">Over the 36-month apprenticeship, 22 months will be as part of an accelerated training phase with a minimum of 20% will be off-the-job training. The format for this is: </w:t>
      </w:r>
    </w:p>
    <w:p w14:paraId="739F0FE7" w14:textId="77777777" w:rsidR="00C70B9E" w:rsidRPr="003141BF" w:rsidRDefault="00C70B9E" w:rsidP="003141BF">
      <w:pPr>
        <w:rPr>
          <w:bCs/>
        </w:rPr>
      </w:pPr>
    </w:p>
    <w:p w14:paraId="1CCB554D" w14:textId="77777777" w:rsidR="003141BF" w:rsidRPr="003141BF" w:rsidRDefault="003141BF" w:rsidP="003141BF">
      <w:pPr>
        <w:numPr>
          <w:ilvl w:val="0"/>
          <w:numId w:val="15"/>
        </w:numPr>
        <w:rPr>
          <w:bCs/>
        </w:rPr>
      </w:pPr>
      <w:r w:rsidRPr="003141BF">
        <w:rPr>
          <w:bCs/>
        </w:rPr>
        <w:t xml:space="preserve">Tutor-led, interactive seminars via Teams or Zoom, with leading practitioners, typically a day a month </w:t>
      </w:r>
    </w:p>
    <w:p w14:paraId="3F941C20" w14:textId="77777777" w:rsidR="003141BF" w:rsidRPr="003141BF" w:rsidRDefault="003141BF" w:rsidP="003141BF">
      <w:pPr>
        <w:numPr>
          <w:ilvl w:val="0"/>
          <w:numId w:val="15"/>
        </w:numPr>
        <w:rPr>
          <w:bCs/>
        </w:rPr>
      </w:pPr>
      <w:r w:rsidRPr="003141BF">
        <w:rPr>
          <w:bCs/>
        </w:rPr>
        <w:t xml:space="preserve">Monthly 1-2-1 time with an experienced skills coach </w:t>
      </w:r>
    </w:p>
    <w:p w14:paraId="3007D776" w14:textId="77777777" w:rsidR="003141BF" w:rsidRPr="003141BF" w:rsidRDefault="003141BF" w:rsidP="003141BF">
      <w:pPr>
        <w:numPr>
          <w:ilvl w:val="0"/>
          <w:numId w:val="15"/>
        </w:numPr>
        <w:rPr>
          <w:bCs/>
        </w:rPr>
      </w:pPr>
      <w:r w:rsidRPr="003141BF">
        <w:rPr>
          <w:bCs/>
        </w:rPr>
        <w:t xml:space="preserve">Professionally guided small group round tables </w:t>
      </w:r>
    </w:p>
    <w:p w14:paraId="37E1898F" w14:textId="77777777" w:rsidR="003141BF" w:rsidRPr="003141BF" w:rsidRDefault="003141BF" w:rsidP="003141BF">
      <w:pPr>
        <w:numPr>
          <w:ilvl w:val="0"/>
          <w:numId w:val="15"/>
        </w:numPr>
        <w:rPr>
          <w:bCs/>
        </w:rPr>
      </w:pPr>
      <w:r w:rsidRPr="003141BF">
        <w:rPr>
          <w:bCs/>
        </w:rPr>
        <w:t xml:space="preserve">Behavioural and pastoral support from a Learner Progress Adviser </w:t>
      </w:r>
    </w:p>
    <w:p w14:paraId="6266F58F" w14:textId="77777777" w:rsidR="003141BF" w:rsidRPr="003141BF" w:rsidRDefault="003141BF" w:rsidP="003141BF">
      <w:pPr>
        <w:numPr>
          <w:ilvl w:val="0"/>
          <w:numId w:val="15"/>
        </w:numPr>
        <w:rPr>
          <w:bCs/>
        </w:rPr>
      </w:pPr>
      <w:r w:rsidRPr="003141BF">
        <w:rPr>
          <w:bCs/>
        </w:rPr>
        <w:t xml:space="preserve">Online learning and self-study materials </w:t>
      </w:r>
    </w:p>
    <w:p w14:paraId="22E75B26" w14:textId="77777777" w:rsidR="003141BF" w:rsidRPr="003141BF" w:rsidRDefault="003141BF" w:rsidP="003141BF">
      <w:pPr>
        <w:numPr>
          <w:ilvl w:val="0"/>
          <w:numId w:val="15"/>
        </w:numPr>
        <w:rPr>
          <w:bCs/>
        </w:rPr>
      </w:pPr>
      <w:r w:rsidRPr="003141BF">
        <w:rPr>
          <w:bCs/>
        </w:rPr>
        <w:t xml:space="preserve">An individualised Workplace Development Plan focused on both learner and business needs </w:t>
      </w:r>
    </w:p>
    <w:p w14:paraId="20A07F5F" w14:textId="77777777" w:rsidR="003141BF" w:rsidRPr="003141BF" w:rsidRDefault="003141BF" w:rsidP="003141BF">
      <w:pPr>
        <w:numPr>
          <w:ilvl w:val="0"/>
          <w:numId w:val="15"/>
        </w:numPr>
        <w:rPr>
          <w:bCs/>
        </w:rPr>
      </w:pPr>
      <w:r w:rsidRPr="003141BF">
        <w:rPr>
          <w:bCs/>
        </w:rPr>
        <w:t xml:space="preserve">Quarterly reviews with line managers </w:t>
      </w:r>
    </w:p>
    <w:p w14:paraId="48432CB0" w14:textId="77777777" w:rsidR="003141BF" w:rsidRPr="003141BF" w:rsidRDefault="003141BF" w:rsidP="003141BF">
      <w:pPr>
        <w:numPr>
          <w:ilvl w:val="0"/>
          <w:numId w:val="15"/>
        </w:numPr>
        <w:rPr>
          <w:bCs/>
        </w:rPr>
      </w:pPr>
      <w:r w:rsidRPr="003141BF">
        <w:rPr>
          <w:bCs/>
        </w:rPr>
        <w:t xml:space="preserve">Self-study </w:t>
      </w:r>
    </w:p>
    <w:p w14:paraId="54163939" w14:textId="77777777" w:rsidR="003141BF" w:rsidRDefault="003141BF" w:rsidP="003141BF">
      <w:pPr>
        <w:rPr>
          <w:bCs/>
        </w:rPr>
      </w:pPr>
    </w:p>
    <w:p w14:paraId="4D869BED" w14:textId="7795B7AE" w:rsidR="00C70B9E" w:rsidRPr="004B2644" w:rsidRDefault="00C70B9E" w:rsidP="00C70B9E">
      <w:pPr>
        <w:pStyle w:val="Heading2"/>
        <w:spacing w:before="40" w:after="0" w:line="259" w:lineRule="auto"/>
        <w:rPr>
          <w:rFonts w:ascii="Arial" w:hAnsi="Arial"/>
          <w:b/>
          <w:color w:val="auto"/>
          <w:sz w:val="26"/>
          <w:szCs w:val="26"/>
          <w:lang w:eastAsia="en-US"/>
        </w:rPr>
      </w:pPr>
      <w:r>
        <w:rPr>
          <w:rFonts w:ascii="Arial" w:hAnsi="Arial"/>
          <w:b/>
          <w:color w:val="auto"/>
          <w:sz w:val="26"/>
          <w:szCs w:val="26"/>
          <w:lang w:eastAsia="en-US"/>
        </w:rPr>
        <w:t>Apprenticeship modules:</w:t>
      </w:r>
    </w:p>
    <w:p w14:paraId="4018ABE3" w14:textId="77777777" w:rsidR="00C70B9E" w:rsidRDefault="00C70B9E" w:rsidP="00C70B9E">
      <w:pPr>
        <w:jc w:val="both"/>
      </w:pPr>
      <w:r>
        <w:rPr>
          <w:noProof/>
        </w:rPr>
        <w:drawing>
          <wp:inline distT="0" distB="0" distL="0" distR="0" wp14:anchorId="1017BAD8" wp14:editId="7967B972">
            <wp:extent cx="5791835" cy="85090"/>
            <wp:effectExtent l="0" t="0" r="0" b="0"/>
            <wp:docPr id="985485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85090"/>
                    </a:xfrm>
                    <a:prstGeom prst="rect">
                      <a:avLst/>
                    </a:prstGeom>
                    <a:noFill/>
                  </pic:spPr>
                </pic:pic>
              </a:graphicData>
            </a:graphic>
          </wp:inline>
        </w:drawing>
      </w:r>
    </w:p>
    <w:p w14:paraId="2EFA25BD" w14:textId="77777777" w:rsidR="00C70B9E" w:rsidRPr="003141BF" w:rsidRDefault="00C70B9E" w:rsidP="003141BF">
      <w:pPr>
        <w:rPr>
          <w:bCs/>
        </w:rPr>
      </w:pPr>
    </w:p>
    <w:p w14:paraId="739E1F03" w14:textId="77777777" w:rsidR="003141BF" w:rsidRPr="003141BF" w:rsidRDefault="003141BF" w:rsidP="003141BF">
      <w:pPr>
        <w:rPr>
          <w:bCs/>
        </w:rPr>
      </w:pPr>
      <w:r w:rsidRPr="003141BF">
        <w:rPr>
          <w:bCs/>
        </w:rPr>
        <w:t xml:space="preserve">Modules cover: </w:t>
      </w:r>
    </w:p>
    <w:p w14:paraId="1418B818" w14:textId="77777777" w:rsidR="003141BF" w:rsidRPr="003141BF" w:rsidRDefault="003141BF" w:rsidP="003141BF">
      <w:pPr>
        <w:rPr>
          <w:bCs/>
        </w:rPr>
      </w:pPr>
      <w:r w:rsidRPr="003141BF">
        <w:rPr>
          <w:bCs/>
        </w:rPr>
        <w:t>Module 1 - The Health and Care System</w:t>
      </w:r>
    </w:p>
    <w:p w14:paraId="135B29E4" w14:textId="77777777" w:rsidR="003141BF" w:rsidRPr="003141BF" w:rsidRDefault="003141BF" w:rsidP="003141BF">
      <w:pPr>
        <w:rPr>
          <w:bCs/>
        </w:rPr>
      </w:pPr>
      <w:r w:rsidRPr="003141BF">
        <w:rPr>
          <w:bCs/>
        </w:rPr>
        <w:t>Module 2 - Personality, Stakeholders and Working Relationships</w:t>
      </w:r>
    </w:p>
    <w:p w14:paraId="2B62DA02" w14:textId="77777777" w:rsidR="003141BF" w:rsidRPr="003141BF" w:rsidRDefault="003141BF" w:rsidP="003141BF">
      <w:r w:rsidRPr="003141BF">
        <w:t>Module 3 - Leadership and Management</w:t>
      </w:r>
    </w:p>
    <w:p w14:paraId="0A5251D3" w14:textId="77777777" w:rsidR="003141BF" w:rsidRPr="003141BF" w:rsidRDefault="003141BF" w:rsidP="003141BF">
      <w:r w:rsidRPr="003141BF">
        <w:t>Module 4 - Project Leadership</w:t>
      </w:r>
    </w:p>
    <w:p w14:paraId="1319CFFD" w14:textId="77777777" w:rsidR="003141BF" w:rsidRPr="003141BF" w:rsidRDefault="003141BF" w:rsidP="003141BF">
      <w:r w:rsidRPr="003141BF">
        <w:t xml:space="preserve">Module 5 - Study Design and Methodologies </w:t>
      </w:r>
    </w:p>
    <w:p w14:paraId="604CE98F" w14:textId="77777777" w:rsidR="003141BF" w:rsidRPr="003141BF" w:rsidRDefault="003141BF" w:rsidP="003141BF">
      <w:r w:rsidRPr="003141BF">
        <w:t xml:space="preserve">Module 6 - Information, Evidence and Recommendations </w:t>
      </w:r>
    </w:p>
    <w:p w14:paraId="01A90C30" w14:textId="77777777" w:rsidR="003141BF" w:rsidRPr="003141BF" w:rsidRDefault="003141BF" w:rsidP="003141BF">
      <w:r w:rsidRPr="003141BF">
        <w:t>Module 7 - Data Analysis and Evidence Informing Decision-Makers</w:t>
      </w:r>
    </w:p>
    <w:p w14:paraId="4D453CDE" w14:textId="77777777" w:rsidR="003141BF" w:rsidRPr="003141BF" w:rsidRDefault="003141BF" w:rsidP="003141BF">
      <w:r w:rsidRPr="003141BF">
        <w:t>Module 8 - Interpretation, Transfer and Dissemination of Information</w:t>
      </w:r>
    </w:p>
    <w:p w14:paraId="7469E477" w14:textId="3243A557" w:rsidR="00C70B9E" w:rsidRPr="004B2644" w:rsidRDefault="00C70B9E" w:rsidP="00C70B9E">
      <w:pPr>
        <w:pStyle w:val="Heading2"/>
        <w:spacing w:before="40" w:after="0" w:line="259" w:lineRule="auto"/>
        <w:rPr>
          <w:rFonts w:ascii="Arial" w:hAnsi="Arial"/>
          <w:b/>
          <w:color w:val="auto"/>
          <w:sz w:val="26"/>
          <w:szCs w:val="26"/>
          <w:lang w:eastAsia="en-US"/>
        </w:rPr>
      </w:pPr>
      <w:r>
        <w:rPr>
          <w:rFonts w:ascii="Arial" w:hAnsi="Arial"/>
          <w:b/>
          <w:color w:val="auto"/>
          <w:sz w:val="26"/>
          <w:szCs w:val="26"/>
          <w:lang w:eastAsia="en-US"/>
        </w:rPr>
        <w:lastRenderedPageBreak/>
        <w:t>End-Point Assessment</w:t>
      </w:r>
    </w:p>
    <w:p w14:paraId="1D6EA17E" w14:textId="77777777" w:rsidR="00C70B9E" w:rsidRDefault="00C70B9E" w:rsidP="00C70B9E">
      <w:pPr>
        <w:jc w:val="both"/>
      </w:pPr>
      <w:r>
        <w:rPr>
          <w:noProof/>
        </w:rPr>
        <w:drawing>
          <wp:inline distT="0" distB="0" distL="0" distR="0" wp14:anchorId="107A8F7D" wp14:editId="48DF772A">
            <wp:extent cx="5791835" cy="85090"/>
            <wp:effectExtent l="0" t="0" r="0" b="0"/>
            <wp:docPr id="690618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85090"/>
                    </a:xfrm>
                    <a:prstGeom prst="rect">
                      <a:avLst/>
                    </a:prstGeom>
                    <a:noFill/>
                  </pic:spPr>
                </pic:pic>
              </a:graphicData>
            </a:graphic>
          </wp:inline>
        </w:drawing>
      </w:r>
    </w:p>
    <w:p w14:paraId="7DC11C5C" w14:textId="77777777" w:rsidR="00C70B9E" w:rsidRPr="003141BF" w:rsidRDefault="00C70B9E" w:rsidP="003141BF">
      <w:pPr>
        <w:rPr>
          <w:bCs/>
        </w:rPr>
      </w:pPr>
    </w:p>
    <w:p w14:paraId="5FDCFBF8" w14:textId="77777777" w:rsidR="003141BF" w:rsidRPr="003141BF" w:rsidRDefault="003141BF" w:rsidP="003141BF">
      <w:pPr>
        <w:rPr>
          <w:lang w:val="en-US"/>
        </w:rPr>
      </w:pPr>
      <w:r w:rsidRPr="003141BF">
        <w:rPr>
          <w:lang w:val="en-US"/>
        </w:rPr>
        <w:t xml:space="preserve">Once you have successfully completed your modules you will progress to the End-Point Assessment to complete your apprenticeship. This is outlined in the end point </w:t>
      </w:r>
      <w:hyperlink r:id="rId14" w:history="1">
        <w:r w:rsidRPr="003141BF">
          <w:rPr>
            <w:rStyle w:val="Hyperlink"/>
            <w:lang w:val="en-US"/>
          </w:rPr>
          <w:t>assessment plan</w:t>
        </w:r>
      </w:hyperlink>
      <w:r w:rsidRPr="003141BF">
        <w:rPr>
          <w:lang w:val="en-US"/>
        </w:rPr>
        <w:t xml:space="preserve"> and consists of: </w:t>
      </w:r>
    </w:p>
    <w:p w14:paraId="3BBB316F" w14:textId="77777777" w:rsidR="003141BF" w:rsidRPr="003141BF" w:rsidRDefault="003141BF" w:rsidP="003141BF">
      <w:pPr>
        <w:rPr>
          <w:lang w:val="en-US"/>
        </w:rPr>
      </w:pPr>
    </w:p>
    <w:p w14:paraId="17644F16" w14:textId="77777777" w:rsidR="003141BF" w:rsidRPr="003141BF" w:rsidRDefault="003141BF" w:rsidP="003141BF">
      <w:pPr>
        <w:numPr>
          <w:ilvl w:val="0"/>
          <w:numId w:val="16"/>
        </w:numPr>
        <w:rPr>
          <w:bCs/>
        </w:rPr>
      </w:pPr>
      <w:r w:rsidRPr="003141BF">
        <w:rPr>
          <w:bCs/>
        </w:rPr>
        <w:t xml:space="preserve">A knowledge test </w:t>
      </w:r>
    </w:p>
    <w:p w14:paraId="7E3AB7B6" w14:textId="77777777" w:rsidR="003141BF" w:rsidRPr="003141BF" w:rsidRDefault="003141BF" w:rsidP="003141BF">
      <w:pPr>
        <w:numPr>
          <w:ilvl w:val="0"/>
          <w:numId w:val="16"/>
        </w:numPr>
        <w:rPr>
          <w:bCs/>
        </w:rPr>
      </w:pPr>
      <w:r w:rsidRPr="003141BF">
        <w:rPr>
          <w:bCs/>
        </w:rPr>
        <w:t xml:space="preserve">A project with presentation and questioning </w:t>
      </w:r>
    </w:p>
    <w:p w14:paraId="2DA6AE37" w14:textId="77777777" w:rsidR="003141BF" w:rsidRPr="003141BF" w:rsidRDefault="003141BF" w:rsidP="003141BF">
      <w:pPr>
        <w:numPr>
          <w:ilvl w:val="0"/>
          <w:numId w:val="16"/>
        </w:numPr>
        <w:rPr>
          <w:bCs/>
        </w:rPr>
      </w:pPr>
      <w:r w:rsidRPr="003141BF">
        <w:rPr>
          <w:bCs/>
        </w:rPr>
        <w:t xml:space="preserve">Professional discussion underpinned by portfolio </w:t>
      </w:r>
    </w:p>
    <w:p w14:paraId="6E763970" w14:textId="77777777" w:rsidR="003141BF" w:rsidRPr="003141BF" w:rsidRDefault="003141BF" w:rsidP="003141BF">
      <w:pPr>
        <w:rPr>
          <w:bCs/>
        </w:rPr>
      </w:pPr>
    </w:p>
    <w:p w14:paraId="3EE97C07" w14:textId="29F6FB12" w:rsidR="0099093E" w:rsidRPr="004B2644" w:rsidRDefault="0099093E" w:rsidP="0099093E">
      <w:pPr>
        <w:pStyle w:val="Heading2"/>
        <w:spacing w:before="40" w:after="0" w:line="259" w:lineRule="auto"/>
        <w:rPr>
          <w:rFonts w:ascii="Arial" w:hAnsi="Arial"/>
          <w:b/>
          <w:color w:val="auto"/>
          <w:sz w:val="26"/>
          <w:szCs w:val="26"/>
          <w:lang w:eastAsia="en-US"/>
        </w:rPr>
      </w:pPr>
      <w:r>
        <w:rPr>
          <w:rFonts w:ascii="Arial" w:hAnsi="Arial"/>
          <w:b/>
          <w:color w:val="auto"/>
          <w:sz w:val="26"/>
          <w:szCs w:val="26"/>
          <w:lang w:eastAsia="en-US"/>
        </w:rPr>
        <w:t>Support</w:t>
      </w:r>
    </w:p>
    <w:p w14:paraId="1E47FEBF" w14:textId="77777777" w:rsidR="0099093E" w:rsidRDefault="0099093E" w:rsidP="0099093E">
      <w:pPr>
        <w:jc w:val="both"/>
      </w:pPr>
      <w:r>
        <w:rPr>
          <w:noProof/>
        </w:rPr>
        <w:drawing>
          <wp:inline distT="0" distB="0" distL="0" distR="0" wp14:anchorId="0EC475C8" wp14:editId="21E738F9">
            <wp:extent cx="5791835" cy="85090"/>
            <wp:effectExtent l="0" t="0" r="0" b="0"/>
            <wp:docPr id="1210354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85090"/>
                    </a:xfrm>
                    <a:prstGeom prst="rect">
                      <a:avLst/>
                    </a:prstGeom>
                    <a:noFill/>
                  </pic:spPr>
                </pic:pic>
              </a:graphicData>
            </a:graphic>
          </wp:inline>
        </w:drawing>
      </w:r>
    </w:p>
    <w:p w14:paraId="67092EA5" w14:textId="77777777" w:rsidR="003141BF" w:rsidRPr="003141BF" w:rsidRDefault="003141BF" w:rsidP="003141BF">
      <w:pPr>
        <w:rPr>
          <w:bCs/>
        </w:rPr>
      </w:pPr>
    </w:p>
    <w:p w14:paraId="664F594A" w14:textId="22B8E777" w:rsidR="003141BF" w:rsidRPr="003141BF" w:rsidRDefault="003141BF" w:rsidP="003141BF">
      <w:pPr>
        <w:rPr>
          <w:bCs/>
        </w:rPr>
      </w:pPr>
      <w:r w:rsidRPr="003141BF">
        <w:rPr>
          <w:bCs/>
        </w:rPr>
        <w:t xml:space="preserve">We and your tutor will give you plenty of support and </w:t>
      </w:r>
      <w:r w:rsidR="0099093E" w:rsidRPr="003141BF">
        <w:rPr>
          <w:bCs/>
        </w:rPr>
        <w:t>encouragement to</w:t>
      </w:r>
      <w:r w:rsidRPr="003141BF">
        <w:rPr>
          <w:bCs/>
        </w:rPr>
        <w:t xml:space="preserve"> ensure you are prepared and confident to complete this stage. </w:t>
      </w:r>
    </w:p>
    <w:p w14:paraId="0D215490" w14:textId="77777777" w:rsidR="003141BF" w:rsidRPr="003141BF" w:rsidRDefault="003141BF" w:rsidP="003141BF">
      <w:pPr>
        <w:rPr>
          <w:bCs/>
        </w:rPr>
      </w:pPr>
      <w:r w:rsidRPr="003141BF">
        <w:rPr>
          <w:bCs/>
        </w:rPr>
        <w:t xml:space="preserve"> </w:t>
      </w:r>
    </w:p>
    <w:p w14:paraId="52B5C246" w14:textId="77777777" w:rsidR="003141BF" w:rsidRPr="003141BF" w:rsidRDefault="003141BF" w:rsidP="003141BF">
      <w:pPr>
        <w:rPr>
          <w:bCs/>
        </w:rPr>
      </w:pPr>
      <w:r w:rsidRPr="003141BF">
        <w:rPr>
          <w:bCs/>
        </w:rPr>
        <w:t xml:space="preserve">When you aren’t learning with JGA Group, the rest of your time will be spent with us learning on the job, where you will gain real-world experience, and apply your learning as part of the Public Health and Corporate Performance and intelligence team. </w:t>
      </w:r>
    </w:p>
    <w:p w14:paraId="21EAC67B" w14:textId="77777777" w:rsidR="003141BF" w:rsidRPr="003141BF" w:rsidRDefault="003141BF" w:rsidP="003141BF">
      <w:pPr>
        <w:rPr>
          <w:bCs/>
        </w:rPr>
      </w:pPr>
      <w:r w:rsidRPr="003141BF">
        <w:rPr>
          <w:bCs/>
        </w:rPr>
        <w:t xml:space="preserve"> </w:t>
      </w:r>
    </w:p>
    <w:p w14:paraId="46CD285C" w14:textId="77777777" w:rsidR="003141BF" w:rsidRPr="003141BF" w:rsidRDefault="003141BF" w:rsidP="003141BF">
      <w:pPr>
        <w:rPr>
          <w:bCs/>
        </w:rPr>
      </w:pPr>
      <w:r w:rsidRPr="003141BF">
        <w:rPr>
          <w:bCs/>
        </w:rPr>
        <w:t xml:space="preserve">The Public Health and the Corporate Performance &amp; intelligence team consist of Public Health and intelligence specialists with a variety of qualitative and quantitative expertise, and experience using a range of software, such as excel, R, SQL and </w:t>
      </w:r>
      <w:proofErr w:type="spellStart"/>
      <w:r w:rsidRPr="003141BF">
        <w:rPr>
          <w:bCs/>
        </w:rPr>
        <w:t>PowerBI</w:t>
      </w:r>
      <w:proofErr w:type="spellEnd"/>
      <w:r w:rsidRPr="003141BF">
        <w:rPr>
          <w:bCs/>
        </w:rPr>
        <w:t xml:space="preserve">. You’ll work in a supportive team environment with regular catchups, peer support and opportunities to build important working relationships with colleagues within the team and across the health and care system. This will be in addition to the support you can draw on from current and past apprentices through the apprenticeship programme. </w:t>
      </w:r>
    </w:p>
    <w:p w14:paraId="47923CCB" w14:textId="77777777" w:rsidR="003141BF" w:rsidRPr="003141BF" w:rsidRDefault="003141BF" w:rsidP="003141BF">
      <w:pPr>
        <w:rPr>
          <w:bCs/>
        </w:rPr>
      </w:pPr>
      <w:r w:rsidRPr="003141BF">
        <w:rPr>
          <w:bCs/>
        </w:rPr>
        <w:t xml:space="preserve"> </w:t>
      </w:r>
    </w:p>
    <w:p w14:paraId="50331CC0" w14:textId="77777777" w:rsidR="003141BF" w:rsidRPr="003141BF" w:rsidRDefault="003141BF" w:rsidP="003141BF">
      <w:pPr>
        <w:rPr>
          <w:bCs/>
        </w:rPr>
      </w:pPr>
      <w:r w:rsidRPr="003141BF">
        <w:rPr>
          <w:bCs/>
        </w:rPr>
        <w:t xml:space="preserve">Throughout the apprenticeship, your JGA allocated tutor will undertake regular reviews with you to make sure you are on track and happy. In addition to your tutor, you will receive workplace mentorship and supervision. This will include of regular 121s to agree a workplan and prioritise a workload to meets the apprenticeship standard and needs of the business. You will have the opportunity to undertake placement with our partners including the local hospital, primary care, Health &amp; care Trust and other public health sector bodies. </w:t>
      </w:r>
    </w:p>
    <w:p w14:paraId="53E2C5E5" w14:textId="77777777" w:rsidR="003141BF" w:rsidRPr="003141BF" w:rsidRDefault="003141BF" w:rsidP="003141BF">
      <w:pPr>
        <w:rPr>
          <w:bCs/>
        </w:rPr>
      </w:pPr>
      <w:r w:rsidRPr="003141BF">
        <w:rPr>
          <w:bCs/>
        </w:rPr>
        <w:t xml:space="preserve"> </w:t>
      </w:r>
    </w:p>
    <w:p w14:paraId="3DCEBB5B" w14:textId="77777777" w:rsidR="003141BF" w:rsidRPr="003141BF" w:rsidRDefault="003141BF" w:rsidP="003141BF">
      <w:pPr>
        <w:rPr>
          <w:bCs/>
        </w:rPr>
      </w:pPr>
      <w:r w:rsidRPr="003141BF">
        <w:rPr>
          <w:bCs/>
        </w:rPr>
        <w:t xml:space="preserve">We understand this is a lot of information and this apprenticeship might not be for everyone, but if you’ve read the above and are still excited about this opportunity, we would love to hear from you.  </w:t>
      </w:r>
    </w:p>
    <w:p w14:paraId="3EF671BE" w14:textId="77777777" w:rsidR="003141BF" w:rsidRPr="003141BF" w:rsidRDefault="003141BF" w:rsidP="003141BF">
      <w:pPr>
        <w:rPr>
          <w:bCs/>
        </w:rPr>
      </w:pPr>
      <w:r w:rsidRPr="003141BF">
        <w:rPr>
          <w:bCs/>
        </w:rPr>
        <w:t xml:space="preserve"> </w:t>
      </w:r>
    </w:p>
    <w:p w14:paraId="0F765E24" w14:textId="77777777" w:rsidR="003141BF" w:rsidRPr="003141BF" w:rsidRDefault="003141BF" w:rsidP="003141BF">
      <w:pPr>
        <w:rPr>
          <w:lang w:val="en-US"/>
        </w:rPr>
      </w:pPr>
    </w:p>
    <w:p w14:paraId="03469B4E" w14:textId="77777777" w:rsidR="00A60430" w:rsidRPr="001154CC" w:rsidRDefault="00A60430" w:rsidP="001154CC"/>
    <w:sectPr w:rsidR="00A60430" w:rsidRPr="001154CC" w:rsidSect="00E5563D">
      <w:headerReference w:type="even" r:id="rId15"/>
      <w:headerReference w:type="default" r:id="rId16"/>
      <w:headerReference w:type="first" r:id="rId17"/>
      <w:footerReference w:type="first" r:id="rId18"/>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BA1E" w14:textId="77777777" w:rsidR="003141BF" w:rsidRDefault="003141BF" w:rsidP="00B416CE">
      <w:pPr>
        <w:pStyle w:val="Footer"/>
      </w:pPr>
      <w:r>
        <w:separator/>
      </w:r>
    </w:p>
  </w:endnote>
  <w:endnote w:type="continuationSeparator" w:id="0">
    <w:p w14:paraId="53B9D8CF" w14:textId="77777777" w:rsidR="003141BF" w:rsidRDefault="003141B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096A" w14:textId="5C6C3CBB" w:rsidR="00920029" w:rsidRPr="005879E3" w:rsidRDefault="0099093E"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3141BF">
          <w:rPr>
            <w:rFonts w:cs="Times New Roman"/>
            <w:sz w:val="18"/>
          </w:rPr>
          <w:t>Harris, George</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853E5F">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11291A">
      <w:rPr>
        <w:rFonts w:cs="Times New Roman"/>
        <w:noProof/>
        <w:sz w:val="18"/>
      </w:rPr>
      <w:t>13/08/2025</w:t>
    </w:r>
    <w:r w:rsidR="00920029" w:rsidRPr="005879E3">
      <w:rPr>
        <w:rFonts w:cs="Times New Roman"/>
        <w:sz w:val="18"/>
      </w:rPr>
      <w:fldChar w:fldCharType="end"/>
    </w:r>
  </w:p>
  <w:p w14:paraId="2104FBA8"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0077" w14:textId="77777777" w:rsidR="003141BF" w:rsidRDefault="003141BF" w:rsidP="00B416CE">
      <w:pPr>
        <w:pStyle w:val="Footer"/>
      </w:pPr>
      <w:r>
        <w:separator/>
      </w:r>
    </w:p>
  </w:footnote>
  <w:footnote w:type="continuationSeparator" w:id="0">
    <w:p w14:paraId="289FBE03" w14:textId="77777777" w:rsidR="003141BF" w:rsidRDefault="003141B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5F8E" w14:textId="7DF4390B" w:rsidR="003141BF" w:rsidRDefault="003141BF">
    <w:pPr>
      <w:pStyle w:val="Header"/>
    </w:pPr>
    <w:r>
      <w:rPr>
        <w:noProof/>
      </w:rPr>
      <mc:AlternateContent>
        <mc:Choice Requires="wps">
          <w:drawing>
            <wp:anchor distT="0" distB="0" distL="0" distR="0" simplePos="0" relativeHeight="251659264" behindDoc="0" locked="0" layoutInCell="1" allowOverlap="1" wp14:anchorId="1D3D50B6" wp14:editId="676E3B71">
              <wp:simplePos x="635" y="635"/>
              <wp:positionH relativeFrom="page">
                <wp:align>center</wp:align>
              </wp:positionH>
              <wp:positionV relativeFrom="page">
                <wp:align>top</wp:align>
              </wp:positionV>
              <wp:extent cx="459740" cy="345440"/>
              <wp:effectExtent l="0" t="0" r="16510" b="16510"/>
              <wp:wrapNone/>
              <wp:docPr id="10045065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733691A" w14:textId="5A53D0E0"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3D50B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733691A" w14:textId="5A53D0E0"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243B" w14:textId="0215DA97" w:rsidR="003141BF" w:rsidRDefault="003141BF">
    <w:pPr>
      <w:pStyle w:val="Header"/>
    </w:pPr>
    <w:r>
      <w:rPr>
        <w:noProof/>
      </w:rPr>
      <mc:AlternateContent>
        <mc:Choice Requires="wps">
          <w:drawing>
            <wp:anchor distT="0" distB="0" distL="0" distR="0" simplePos="0" relativeHeight="251660288" behindDoc="0" locked="0" layoutInCell="1" allowOverlap="1" wp14:anchorId="1B6F9565" wp14:editId="7E1488DE">
              <wp:simplePos x="756920" y="450850"/>
              <wp:positionH relativeFrom="page">
                <wp:align>center</wp:align>
              </wp:positionH>
              <wp:positionV relativeFrom="page">
                <wp:align>top</wp:align>
              </wp:positionV>
              <wp:extent cx="459740" cy="345440"/>
              <wp:effectExtent l="0" t="0" r="16510" b="16510"/>
              <wp:wrapNone/>
              <wp:docPr id="2774037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EB9B450" w14:textId="454742B2"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6F9565"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EB9B450" w14:textId="454742B2"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BCB7" w14:textId="0A4E144D" w:rsidR="00CC2660" w:rsidRPr="00CC2660" w:rsidRDefault="003141BF" w:rsidP="00CC2660">
    <w:pPr>
      <w:pStyle w:val="Header"/>
    </w:pPr>
    <w:r>
      <w:rPr>
        <w:noProof/>
      </w:rPr>
      <mc:AlternateContent>
        <mc:Choice Requires="wps">
          <w:drawing>
            <wp:anchor distT="0" distB="0" distL="0" distR="0" simplePos="0" relativeHeight="251658240" behindDoc="0" locked="0" layoutInCell="1" allowOverlap="1" wp14:anchorId="706D8AE3" wp14:editId="47FE3AB9">
              <wp:simplePos x="755650" y="450850"/>
              <wp:positionH relativeFrom="page">
                <wp:align>center</wp:align>
              </wp:positionH>
              <wp:positionV relativeFrom="page">
                <wp:align>top</wp:align>
              </wp:positionV>
              <wp:extent cx="459740" cy="345440"/>
              <wp:effectExtent l="0" t="0" r="16510" b="16510"/>
              <wp:wrapNone/>
              <wp:docPr id="18391739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ACB1465" w14:textId="6BDA4313"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D8AE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4ACB1465" w14:textId="6BDA4313" w:rsidR="003141BF" w:rsidRPr="003141BF" w:rsidRDefault="003141BF" w:rsidP="003141BF">
                    <w:pPr>
                      <w:rPr>
                        <w:rFonts w:ascii="Calibri" w:eastAsia="Calibri" w:hAnsi="Calibri" w:cs="Calibri"/>
                        <w:noProof/>
                        <w:color w:val="0000FF"/>
                        <w:sz w:val="20"/>
                      </w:rPr>
                    </w:pPr>
                    <w:r w:rsidRPr="003141BF">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3206FAEE" wp14:editId="50D5475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BD764B"/>
    <w:multiLevelType w:val="hybridMultilevel"/>
    <w:tmpl w:val="DBF4E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59ED13A8"/>
    <w:multiLevelType w:val="hybridMultilevel"/>
    <w:tmpl w:val="73A4C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352855"/>
    <w:multiLevelType w:val="hybridMultilevel"/>
    <w:tmpl w:val="E764A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2262709">
    <w:abstractNumId w:val="8"/>
  </w:num>
  <w:num w:numId="2" w16cid:durableId="924848467">
    <w:abstractNumId w:val="7"/>
  </w:num>
  <w:num w:numId="3" w16cid:durableId="1489859158">
    <w:abstractNumId w:val="6"/>
  </w:num>
  <w:num w:numId="4" w16cid:durableId="1180776889">
    <w:abstractNumId w:val="5"/>
  </w:num>
  <w:num w:numId="5" w16cid:durableId="46952946">
    <w:abstractNumId w:val="4"/>
  </w:num>
  <w:num w:numId="6" w16cid:durableId="108160939">
    <w:abstractNumId w:val="3"/>
  </w:num>
  <w:num w:numId="7" w16cid:durableId="584997129">
    <w:abstractNumId w:val="2"/>
  </w:num>
  <w:num w:numId="8" w16cid:durableId="1378428834">
    <w:abstractNumId w:val="0"/>
  </w:num>
  <w:num w:numId="9" w16cid:durableId="268587667">
    <w:abstractNumId w:val="10"/>
  </w:num>
  <w:num w:numId="10" w16cid:durableId="661928467">
    <w:abstractNumId w:val="9"/>
  </w:num>
  <w:num w:numId="11" w16cid:durableId="1169830399">
    <w:abstractNumId w:val="1"/>
  </w:num>
  <w:num w:numId="12" w16cid:durableId="353115163">
    <w:abstractNumId w:val="12"/>
  </w:num>
  <w:num w:numId="13" w16cid:durableId="147600678">
    <w:abstractNumId w:val="13"/>
  </w:num>
  <w:num w:numId="14" w16cid:durableId="1670869849">
    <w:abstractNumId w:val="14"/>
  </w:num>
  <w:num w:numId="15" w16cid:durableId="821117986">
    <w:abstractNumId w:val="15"/>
  </w:num>
  <w:num w:numId="16" w16cid:durableId="971399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BF"/>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291A"/>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41BF"/>
    <w:rsid w:val="0031641A"/>
    <w:rsid w:val="00317775"/>
    <w:rsid w:val="00317AEB"/>
    <w:rsid w:val="0034692C"/>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D730D"/>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9093E"/>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20D"/>
    <w:rsid w:val="00C50B8A"/>
    <w:rsid w:val="00C51ADF"/>
    <w:rsid w:val="00C52196"/>
    <w:rsid w:val="00C6399E"/>
    <w:rsid w:val="00C70B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07CC2"/>
  <w15:chartTrackingRefBased/>
  <w15:docId w15:val="{C2C06BDE-357B-49A8-81D3-11C5480D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link w:val="Heading1Char"/>
    <w:uiPriority w:val="9"/>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3141BF"/>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141BF"/>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3141BF"/>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3141BF"/>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3141BF"/>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3141BF"/>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3141BF"/>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3141BF"/>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3141BF"/>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3141BF"/>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3141BF"/>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3141BF"/>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3141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14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141BF"/>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3141BF"/>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3141BF"/>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3141BF"/>
    <w:rPr>
      <w:rFonts w:ascii="Arial" w:hAnsi="Arial" w:cs="Arial"/>
      <w:i/>
      <w:iCs/>
      <w:color w:val="725C58" w:themeColor="text1" w:themeTint="BF"/>
      <w:sz w:val="22"/>
    </w:rPr>
  </w:style>
  <w:style w:type="paragraph" w:styleId="ListParagraph">
    <w:name w:val="List Paragraph"/>
    <w:basedOn w:val="Normal"/>
    <w:uiPriority w:val="34"/>
    <w:qFormat/>
    <w:rsid w:val="003141BF"/>
    <w:pPr>
      <w:ind w:left="720"/>
      <w:contextualSpacing/>
    </w:pPr>
  </w:style>
  <w:style w:type="character" w:styleId="IntenseEmphasis">
    <w:name w:val="Intense Emphasis"/>
    <w:basedOn w:val="DefaultParagraphFont"/>
    <w:uiPriority w:val="21"/>
    <w:qFormat/>
    <w:rsid w:val="003141BF"/>
    <w:rPr>
      <w:i/>
      <w:iCs/>
      <w:color w:val="2A2221" w:themeColor="accent1" w:themeShade="BF"/>
    </w:rPr>
  </w:style>
  <w:style w:type="paragraph" w:styleId="IntenseQuote">
    <w:name w:val="Intense Quote"/>
    <w:basedOn w:val="Normal"/>
    <w:next w:val="Normal"/>
    <w:link w:val="IntenseQuoteChar"/>
    <w:uiPriority w:val="30"/>
    <w:qFormat/>
    <w:rsid w:val="003141BF"/>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3141BF"/>
    <w:rPr>
      <w:rFonts w:ascii="Arial" w:hAnsi="Arial" w:cs="Arial"/>
      <w:i/>
      <w:iCs/>
      <w:color w:val="2A2221" w:themeColor="accent1" w:themeShade="BF"/>
      <w:sz w:val="22"/>
    </w:rPr>
  </w:style>
  <w:style w:type="character" w:styleId="IntenseReference">
    <w:name w:val="Intense Reference"/>
    <w:basedOn w:val="DefaultParagraphFont"/>
    <w:uiPriority w:val="32"/>
    <w:qFormat/>
    <w:rsid w:val="003141BF"/>
    <w:rPr>
      <w:b/>
      <w:bCs/>
      <w:smallCaps/>
      <w:color w:val="2A2221" w:themeColor="accent1" w:themeShade="BF"/>
      <w:spacing w:val="5"/>
    </w:rPr>
  </w:style>
  <w:style w:type="character" w:styleId="UnresolvedMention">
    <w:name w:val="Unresolved Mention"/>
    <w:basedOn w:val="DefaultParagraphFont"/>
    <w:uiPriority w:val="99"/>
    <w:semiHidden/>
    <w:unhideWhenUsed/>
    <w:rsid w:val="003141BF"/>
    <w:rPr>
      <w:color w:val="605E5C"/>
      <w:shd w:val="clear" w:color="auto" w:fill="E1DFDD"/>
    </w:rPr>
  </w:style>
  <w:style w:type="character" w:customStyle="1" w:styleId="Heading1Char">
    <w:name w:val="Heading 1 Char"/>
    <w:aliases w:val="Heading 1 HC Char"/>
    <w:basedOn w:val="DefaultParagraphFont"/>
    <w:link w:val="Heading1"/>
    <w:uiPriority w:val="9"/>
    <w:rsid w:val="0031641A"/>
    <w:rPr>
      <w:rFonts w:ascii="Arial" w:hAnsi="Arial" w:cs="Arial"/>
      <w:b/>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64721">
      <w:bodyDiv w:val="1"/>
      <w:marLeft w:val="0"/>
      <w:marRight w:val="0"/>
      <w:marTop w:val="0"/>
      <w:marBottom w:val="0"/>
      <w:divBdr>
        <w:top w:val="none" w:sz="0" w:space="0" w:color="auto"/>
        <w:left w:val="none" w:sz="0" w:space="0" w:color="auto"/>
        <w:bottom w:val="none" w:sz="0" w:space="0" w:color="auto"/>
        <w:right w:val="none" w:sz="0" w:space="0" w:color="auto"/>
      </w:divBdr>
    </w:div>
    <w:div w:id="8568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stituteforapprenticeships.org/apprenticeship-standards/health-and-care-intelligence-specialist-v1-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1.safelinks.protection.outlook.com/?url=https%3A%2F%2Fwww.instituteforapprenticeships.org%2Fmedia%2F4167%2Fst0830_health_and_care_intelligence_specialist_l7_ap-for-publication_060420.pdf&amp;data=05%7C02%7CAshton.Yon%40southglos.gov.uk%7C5836d5ac1a1e4a602a1f08dcb537b610%7C64b09e5287ad46be97d2d96dd06f3ad4%7C0%7C0%7C638584498144674441%7CUnknown%7CTWFpbGZsb3d8eyJWIjoiMC4wLjAwMDAiLCJQIjoiV2luMzIiLCJBTiI6Ik1haWwiLCJXVCI6Mn0%3D%7C0%7C%7C%7C&amp;sdata=FAAbTgX%2BRDMDxbniigd%2FCTi1hE4YcXtvYHcCnhlA9dI%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4491</Characters>
  <Application>Microsoft Office Word</Application>
  <DocSecurity>0</DocSecurity>
  <Lines>37</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Harris, George</dc:creator>
  <cp:keywords>template;Accessibility</cp:keywords>
  <dc:description/>
  <cp:lastModifiedBy>Harris, George</cp:lastModifiedBy>
  <cp:revision>5</cp:revision>
  <cp:lastPrinted>2001-11-28T15:12:00Z</cp:lastPrinted>
  <dcterms:created xsi:type="dcterms:W3CDTF">2025-08-13T08:31:00Z</dcterms:created>
  <dcterms:modified xsi:type="dcterms:W3CDTF">2025-08-13T08:34:00Z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6d9f913f,3bdf8d8a,1088d858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